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C74284">
        <w:rPr>
          <w:b/>
        </w:rPr>
        <w:t>zastupitelstva města</w:t>
      </w:r>
      <w:r>
        <w:rPr>
          <w:b/>
        </w:rPr>
        <w:t xml:space="preserve">, které se uskuteční </w:t>
      </w:r>
      <w:r w:rsidR="00C74284">
        <w:rPr>
          <w:b/>
        </w:rPr>
        <w:t>v pondělí</w:t>
      </w:r>
      <w:r>
        <w:rPr>
          <w:b/>
        </w:rPr>
        <w:t xml:space="preserve"> dne </w:t>
      </w:r>
      <w:r w:rsidR="00C74284">
        <w:rPr>
          <w:b/>
        </w:rPr>
        <w:t>11.12.2023</w:t>
      </w:r>
      <w:r>
        <w:rPr>
          <w:b/>
        </w:rPr>
        <w:t xml:space="preserve"> od </w:t>
      </w:r>
      <w:r w:rsidR="00C74284">
        <w:rPr>
          <w:b/>
          <w:lang w:val="en-US"/>
        </w:rPr>
        <w:t>10.00 hodin</w:t>
      </w:r>
      <w:r>
        <w:rPr>
          <w:b/>
          <w:lang w:val="en-US"/>
        </w:rPr>
        <w:t xml:space="preserve"> </w:t>
      </w:r>
      <w:r w:rsidR="00C74284">
        <w:rPr>
          <w:b/>
        </w:rPr>
        <w:t>v zasedací místnosti MěÚ</w:t>
      </w:r>
    </w:p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C74284" w:rsidRPr="003B445B" w:rsidTr="00C74284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C74284" w:rsidRPr="003B445B" w:rsidRDefault="00C74284" w:rsidP="00C74284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C74284" w:rsidRPr="003B445B" w:rsidRDefault="00C74284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194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Plán činnosti kontrolního výboru na r. 2024</w:t>
            </w:r>
          </w:p>
        </w:tc>
      </w:tr>
      <w:tr w:rsidR="00C74284" w:rsidRPr="003B445B" w:rsidTr="00C74284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C74284" w:rsidRPr="003B445B" w:rsidRDefault="00C74284" w:rsidP="00C74284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C74284" w:rsidRPr="003B445B" w:rsidRDefault="00C74284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195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Návrh rozpočtu města Havlíčkův Brod pro rok 2024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196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Městké divadlo a kino Ostrov - Veřejnoprávní smlouva o zajištění služeb obecného hospodářského zájmu a o poskytnutí vyrovnávací platby formou dotace na kompenzaci nákladů závazku veřejné služby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197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Rozdělení finanční podpory jednotlivým žadatelům o poskytnutí dotace z rozpočtu města dle "Zásad" v roce 2024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198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Plán jednání zastupitelstva města na I. pololetí 2024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199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Obecně závazná vyhláška o nočním klidu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200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Žádost o finanční dar - Nemocnice Havlíčkův Brod, příspěvková organizace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201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Žádost o finanční dar - Sdružení ambulantních lékařů Havlíčkův Brod, s.r.o.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202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Stanovení výše odměn neuvolněným členům zastupitelstva města</w:t>
            </w:r>
          </w:p>
        </w:tc>
      </w:tr>
      <w:tr w:rsidR="00C74284" w:rsidRPr="003B445B" w:rsidTr="00C74284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C74284" w:rsidRPr="003B445B" w:rsidRDefault="00C74284" w:rsidP="00C74284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C74284" w:rsidRPr="003B445B" w:rsidRDefault="00C74284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203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Plánovací smlouva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204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Zrušení usnesení zastupitelstva č.177/22 ze dne 12.9.2022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205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Změna č.7 územního plánu Havlíčkův Brod - nové varianty k projednání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206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Vydání změny č.5 územního plánu Havlíčkův Brod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207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Výstavba plaveckého bazénu</w:t>
            </w:r>
          </w:p>
        </w:tc>
      </w:tr>
      <w:tr w:rsidR="00C74284" w:rsidRPr="003B445B" w:rsidTr="00C74284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C74284" w:rsidRPr="003B445B" w:rsidRDefault="00C74284" w:rsidP="00C74284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C74284" w:rsidRPr="003B445B" w:rsidRDefault="00C74284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113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Záměr prodeje části pozemku č. 1727 v k.ú. Suchá u Havlíčkova Brodu - Ovčín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180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Záměr darování pozemku - Březinka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182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Koupě pozemku č. 778/99 v k.ú. Havlíčkův Brod - ulice Zahradnického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183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Koupě id. podílu pozemků v k.ú. Havlíčkův Brod - lokalita Čechovka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184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Koupě pozemku č. 1070/5 v k.ú. Mírovka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185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Prodej pozemků - ZTV Suchá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186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Prodej části pozemku č. 1595/35 v k.ú. Havlíčkův Brod - Vršovice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187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Prodej části pozemku č. 569/1 v k.ú. Termesivy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188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Prodej podílů k pozemkům v k.ú Pávov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189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Prodej podílů k pozemkům č. 156/5 a 1587/29 v k.ú. Štoky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190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Směna pozemků - Mendlova Ves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191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Směna pozemků Veselice x Papšíkov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r>
              <w:t>č. 192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Předkupní právo - Vyskytná nad Jihlavou</w:t>
            </w:r>
          </w:p>
        </w:tc>
      </w:tr>
      <w:tr w:rsidR="00C74284" w:rsidRPr="003B445B" w:rsidTr="00C74284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C74284" w:rsidRPr="003B445B" w:rsidRDefault="00C74284">
            <w:pPr>
              <w:jc w:val="right"/>
            </w:pPr>
            <w:bookmarkStart w:id="1" w:name="pTemp"/>
            <w:bookmarkEnd w:id="1"/>
            <w:r>
              <w:t>č. 193</w:t>
            </w:r>
          </w:p>
        </w:tc>
        <w:tc>
          <w:tcPr>
            <w:tcW w:w="9143" w:type="dxa"/>
            <w:gridSpan w:val="2"/>
          </w:tcPr>
          <w:p w:rsidR="00C74284" w:rsidRPr="003B445B" w:rsidRDefault="00C74284">
            <w:r>
              <w:t>Záměr zřízení věcného práva stavby - škola Kyjovská</w:t>
            </w:r>
          </w:p>
        </w:tc>
      </w:tr>
    </w:tbl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741170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9" w:rsidRDefault="00E64399">
      <w:r>
        <w:separator/>
      </w:r>
    </w:p>
  </w:endnote>
  <w:endnote w:type="continuationSeparator" w:id="0">
    <w:p w:rsidR="00E64399" w:rsidRDefault="00E6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9" w:rsidRDefault="00E64399">
      <w:r>
        <w:separator/>
      </w:r>
    </w:p>
  </w:footnote>
  <w:footnote w:type="continuationSeparator" w:id="0">
    <w:p w:rsidR="00E64399" w:rsidRDefault="00E6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6126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E64399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284"/>
    <w:rsid w:val="000D2505"/>
    <w:rsid w:val="00741170"/>
    <w:rsid w:val="00785FF8"/>
    <w:rsid w:val="007B0989"/>
    <w:rsid w:val="00815816"/>
    <w:rsid w:val="008672A5"/>
    <w:rsid w:val="00955475"/>
    <w:rsid w:val="009F0ACC"/>
    <w:rsid w:val="00A6758A"/>
    <w:rsid w:val="00C74284"/>
    <w:rsid w:val="00E258D1"/>
    <w:rsid w:val="00E64399"/>
    <w:rsid w:val="00E647C3"/>
    <w:rsid w:val="00EF6126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DBEF873-9784-4C13-9F3E-F14CBCE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741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2172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Sobotková Petra</cp:lastModifiedBy>
  <cp:revision>2</cp:revision>
  <cp:lastPrinted>2023-12-01T11:52:00Z</cp:lastPrinted>
  <dcterms:created xsi:type="dcterms:W3CDTF">2023-12-01T11:52:00Z</dcterms:created>
  <dcterms:modified xsi:type="dcterms:W3CDTF">2023-12-01T11:52:00Z</dcterms:modified>
</cp:coreProperties>
</file>